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94" w:rsidRPr="00A377F0" w:rsidRDefault="00570994" w:rsidP="00570994">
      <w:pPr>
        <w:jc w:val="center"/>
      </w:pPr>
      <w:r>
        <w:rPr>
          <w:noProof/>
        </w:rPr>
        <w:drawing>
          <wp:inline distT="0" distB="0" distL="0" distR="0">
            <wp:extent cx="711200" cy="793750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994" w:rsidRPr="00A377F0" w:rsidRDefault="00570994" w:rsidP="00570994">
      <w:pPr>
        <w:pStyle w:val="1"/>
      </w:pPr>
      <w:r w:rsidRPr="00A377F0">
        <w:t>Администрация Мясниковского района</w:t>
      </w:r>
    </w:p>
    <w:p w:rsidR="00570994" w:rsidRPr="00A377F0" w:rsidRDefault="00570994" w:rsidP="00570994">
      <w:pPr>
        <w:pStyle w:val="2"/>
      </w:pPr>
      <w:r>
        <w:t>ПОСТАНОВЛЕНИЕ</w:t>
      </w:r>
    </w:p>
    <w:p w:rsidR="00570994" w:rsidRDefault="00570994" w:rsidP="00570994">
      <w:pPr>
        <w:rPr>
          <w:sz w:val="28"/>
          <w:szCs w:val="28"/>
        </w:rPr>
      </w:pPr>
    </w:p>
    <w:p w:rsidR="00570994" w:rsidRPr="00252D57" w:rsidRDefault="00570994" w:rsidP="00570994">
      <w:pPr>
        <w:rPr>
          <w:sz w:val="28"/>
          <w:szCs w:val="28"/>
        </w:rPr>
      </w:pPr>
      <w:r>
        <w:rPr>
          <w:sz w:val="28"/>
          <w:szCs w:val="28"/>
        </w:rPr>
        <w:t>_____.</w:t>
      </w:r>
      <w:r w:rsidRPr="00252D57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52D57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           </w:t>
      </w:r>
      <w:r w:rsidR="00B067FB">
        <w:rPr>
          <w:sz w:val="28"/>
          <w:szCs w:val="28"/>
        </w:rPr>
        <w:t xml:space="preserve">   </w:t>
      </w:r>
      <w:r w:rsidRPr="00252D57">
        <w:rPr>
          <w:sz w:val="28"/>
          <w:szCs w:val="28"/>
        </w:rPr>
        <w:t>№</w:t>
      </w:r>
      <w:r>
        <w:rPr>
          <w:sz w:val="28"/>
          <w:szCs w:val="28"/>
        </w:rPr>
        <w:t xml:space="preserve"> _____                                        с.Чалтырь</w:t>
      </w:r>
    </w:p>
    <w:p w:rsidR="00BE7E2E" w:rsidRDefault="00BE7E2E" w:rsidP="004D4480">
      <w:pPr>
        <w:widowControl/>
        <w:rPr>
          <w:rFonts w:ascii="Times New Roman CYR" w:hAnsi="Times New Roman CYR"/>
          <w:sz w:val="28"/>
          <w:szCs w:val="28"/>
        </w:rPr>
      </w:pPr>
    </w:p>
    <w:p w:rsidR="00BE7E2E" w:rsidRPr="00B067FB" w:rsidRDefault="00BE7E2E" w:rsidP="00A936A7">
      <w:pPr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B067FB">
        <w:rPr>
          <w:rFonts w:ascii="Times New Roman CYR" w:hAnsi="Times New Roman CYR"/>
          <w:b/>
          <w:sz w:val="28"/>
          <w:szCs w:val="28"/>
        </w:rPr>
        <w:t xml:space="preserve">Об установлении стоимости и перечня услуг по присоединению объектов дорожного сервиса к </w:t>
      </w:r>
      <w:r w:rsidR="00F17288" w:rsidRPr="00B067FB">
        <w:rPr>
          <w:rFonts w:ascii="Times New Roman CYR" w:hAnsi="Times New Roman CYR"/>
          <w:b/>
          <w:sz w:val="28"/>
          <w:szCs w:val="28"/>
        </w:rPr>
        <w:t>автомобильным дорогам Мясниковского района расположенным за чертой населенных пунктов</w:t>
      </w:r>
    </w:p>
    <w:p w:rsidR="00BE7E2E" w:rsidRDefault="00BE7E2E" w:rsidP="00A936A7">
      <w:pPr>
        <w:widowControl/>
        <w:jc w:val="center"/>
        <w:rPr>
          <w:rFonts w:ascii="Times New Roman CYR" w:hAnsi="Times New Roman CYR"/>
          <w:sz w:val="28"/>
          <w:szCs w:val="28"/>
        </w:rPr>
      </w:pPr>
    </w:p>
    <w:p w:rsidR="00BE7E2E" w:rsidRPr="00253D09" w:rsidRDefault="00BE7E2E" w:rsidP="00570994">
      <w:pPr>
        <w:ind w:firstLine="708"/>
        <w:jc w:val="both"/>
        <w:rPr>
          <w:sz w:val="28"/>
          <w:szCs w:val="28"/>
        </w:rPr>
      </w:pPr>
      <w:r w:rsidRPr="00253D09">
        <w:rPr>
          <w:sz w:val="28"/>
          <w:szCs w:val="28"/>
        </w:rPr>
        <w:t xml:space="preserve">В целях реализации ст. 13 и 22 Федерального </w:t>
      </w:r>
      <w:r w:rsidR="00B067FB">
        <w:rPr>
          <w:sz w:val="28"/>
          <w:szCs w:val="28"/>
        </w:rPr>
        <w:t>закона от 08.11.2007 №</w:t>
      </w:r>
      <w:r w:rsidR="00253D09" w:rsidRPr="00253D09">
        <w:rPr>
          <w:sz w:val="28"/>
          <w:szCs w:val="28"/>
        </w:rPr>
        <w:t>257-ФЗ</w:t>
      </w:r>
      <w:r w:rsidR="00253D09">
        <w:rPr>
          <w:sz w:val="28"/>
          <w:szCs w:val="28"/>
        </w:rPr>
        <w:t xml:space="preserve"> </w:t>
      </w:r>
      <w:r w:rsidRPr="00253D09">
        <w:rPr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16 Федерального закона от 06.10.2003 № 131-ФЗ «Об общих принципах организации местного самоупр</w:t>
      </w:r>
      <w:r w:rsidR="00253D09">
        <w:rPr>
          <w:sz w:val="28"/>
          <w:szCs w:val="28"/>
        </w:rPr>
        <w:t>авления в Российской Федерации»</w:t>
      </w:r>
      <w:r w:rsidR="00B067FB">
        <w:rPr>
          <w:sz w:val="28"/>
          <w:szCs w:val="28"/>
        </w:rPr>
        <w:t>, Администрация Мясниковского района</w:t>
      </w:r>
    </w:p>
    <w:p w:rsidR="00BE7E2E" w:rsidRPr="00253D09" w:rsidRDefault="00BE7E2E" w:rsidP="00253D09">
      <w:pPr>
        <w:rPr>
          <w:sz w:val="28"/>
          <w:szCs w:val="28"/>
        </w:rPr>
      </w:pPr>
    </w:p>
    <w:p w:rsidR="00BE7E2E" w:rsidRDefault="00B067FB" w:rsidP="00A936A7">
      <w:pPr>
        <w:widowControl/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постановляет</w:t>
      </w:r>
      <w:r w:rsidR="00BE7E2E">
        <w:rPr>
          <w:rFonts w:ascii="Times New Roman CYR" w:hAnsi="Times New Roman CYR"/>
          <w:sz w:val="28"/>
          <w:szCs w:val="28"/>
        </w:rPr>
        <w:t>:</w:t>
      </w:r>
    </w:p>
    <w:p w:rsidR="00BE7E2E" w:rsidRDefault="00BE7E2E" w:rsidP="00A936A7">
      <w:pPr>
        <w:widowControl/>
        <w:jc w:val="center"/>
        <w:rPr>
          <w:rFonts w:ascii="Times New Roman CYR" w:hAnsi="Times New Roman CYR"/>
          <w:sz w:val="28"/>
          <w:szCs w:val="28"/>
        </w:rPr>
      </w:pPr>
    </w:p>
    <w:p w:rsidR="00BE7E2E" w:rsidRDefault="00BE7E2E" w:rsidP="00AD1CF1">
      <w:pPr>
        <w:widowControl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D1CF1">
        <w:rPr>
          <w:rFonts w:ascii="Times New Roman CYR" w:hAnsi="Times New Roman CYR"/>
          <w:sz w:val="28"/>
          <w:szCs w:val="28"/>
        </w:rPr>
        <w:t>1.</w:t>
      </w:r>
      <w:r w:rsidR="00253D09">
        <w:rPr>
          <w:rFonts w:ascii="Times New Roman CYR" w:hAnsi="Times New Roman CYR"/>
          <w:sz w:val="28"/>
          <w:szCs w:val="28"/>
        </w:rPr>
        <w:t xml:space="preserve"> </w:t>
      </w:r>
      <w:r w:rsidRPr="00AD1CF1">
        <w:rPr>
          <w:rFonts w:ascii="Times New Roman CYR" w:hAnsi="Times New Roman CYR"/>
          <w:sz w:val="28"/>
          <w:szCs w:val="28"/>
        </w:rPr>
        <w:t xml:space="preserve">Утвердить перечень услуг по присоединению объектов дорожного сервиса к </w:t>
      </w:r>
      <w:r w:rsidR="00F17288">
        <w:rPr>
          <w:rFonts w:ascii="Times New Roman CYR" w:hAnsi="Times New Roman CYR"/>
          <w:sz w:val="28"/>
          <w:szCs w:val="28"/>
        </w:rPr>
        <w:t>автомобильным дорогам Мясниковского района расположенным за чертой населенных пунктов</w:t>
      </w:r>
      <w:r w:rsidRPr="00AD1CF1">
        <w:rPr>
          <w:rFonts w:ascii="Times New Roman CYR" w:hAnsi="Times New Roman CYR"/>
          <w:sz w:val="28"/>
          <w:szCs w:val="28"/>
        </w:rPr>
        <w:t>, согласно приложению №</w:t>
      </w:r>
      <w:r w:rsidR="00B067FB">
        <w:rPr>
          <w:rFonts w:ascii="Times New Roman CYR" w:hAnsi="Times New Roman CYR"/>
          <w:sz w:val="28"/>
          <w:szCs w:val="28"/>
        </w:rPr>
        <w:t xml:space="preserve"> </w:t>
      </w:r>
      <w:r w:rsidRPr="00AD1CF1">
        <w:rPr>
          <w:rFonts w:ascii="Times New Roman CYR" w:hAnsi="Times New Roman CYR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Pr="00AD1CF1">
        <w:rPr>
          <w:rFonts w:ascii="Times New Roman CYR" w:hAnsi="Times New Roman CYR"/>
          <w:sz w:val="28"/>
          <w:szCs w:val="28"/>
        </w:rPr>
        <w:t>.</w:t>
      </w:r>
    </w:p>
    <w:p w:rsidR="00BE7E2E" w:rsidRDefault="00BE7E2E" w:rsidP="00AD1CF1">
      <w:pPr>
        <w:widowControl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  <w:t>2.</w:t>
      </w:r>
      <w:r w:rsidR="00253D09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Утвердить расчет стоимости услуг, оказываемых по договору о присоединении объекта дорожного сервиса</w:t>
      </w:r>
      <w:r w:rsidRPr="00AD1CF1">
        <w:t xml:space="preserve"> </w:t>
      </w:r>
      <w:r w:rsidRPr="00AD1CF1">
        <w:rPr>
          <w:rFonts w:ascii="Times New Roman CYR" w:hAnsi="Times New Roman CYR"/>
          <w:sz w:val="28"/>
          <w:szCs w:val="28"/>
        </w:rPr>
        <w:t xml:space="preserve">к </w:t>
      </w:r>
      <w:r w:rsidR="00F17288">
        <w:rPr>
          <w:rFonts w:ascii="Times New Roman CYR" w:hAnsi="Times New Roman CYR"/>
          <w:sz w:val="28"/>
          <w:szCs w:val="28"/>
        </w:rPr>
        <w:t>автомобильным дорогам Мясниковского района расположенным за чертой населенных пунктов</w:t>
      </w:r>
      <w:r>
        <w:rPr>
          <w:rFonts w:ascii="Times New Roman CYR" w:hAnsi="Times New Roman CYR"/>
          <w:sz w:val="28"/>
          <w:szCs w:val="28"/>
        </w:rPr>
        <w:t>,</w:t>
      </w:r>
      <w:r w:rsidRPr="00474382">
        <w:t xml:space="preserve"> </w:t>
      </w:r>
      <w:r>
        <w:rPr>
          <w:rFonts w:ascii="Times New Roman CYR" w:hAnsi="Times New Roman CYR"/>
          <w:sz w:val="28"/>
          <w:szCs w:val="28"/>
        </w:rPr>
        <w:t>согласно приложению № 2</w:t>
      </w:r>
      <w:r w:rsidRPr="00063CAD">
        <w:t xml:space="preserve"> </w:t>
      </w:r>
      <w:r>
        <w:rPr>
          <w:rFonts w:ascii="Times New Roman CYR" w:hAnsi="Times New Roman CYR"/>
          <w:sz w:val="28"/>
          <w:szCs w:val="28"/>
        </w:rPr>
        <w:t>к настоящему постановлению</w:t>
      </w:r>
      <w:r w:rsidRPr="00474382">
        <w:rPr>
          <w:rFonts w:ascii="Times New Roman CYR" w:hAnsi="Times New Roman CYR"/>
          <w:sz w:val="28"/>
          <w:szCs w:val="28"/>
        </w:rPr>
        <w:t>.</w:t>
      </w:r>
    </w:p>
    <w:p w:rsidR="00BE7E2E" w:rsidRPr="00BA093D" w:rsidRDefault="00BE7E2E" w:rsidP="00AD1CF1">
      <w:pPr>
        <w:widowControl/>
        <w:jc w:val="both"/>
        <w:rPr>
          <w:rFonts w:ascii="Times New Roman CYR" w:hAnsi="Times New Roman CYR"/>
          <w:sz w:val="28"/>
          <w:szCs w:val="28"/>
        </w:rPr>
      </w:pPr>
      <w:r w:rsidRPr="00BA093D">
        <w:rPr>
          <w:rFonts w:ascii="Times New Roman CYR" w:hAnsi="Times New Roman CYR"/>
          <w:sz w:val="28"/>
          <w:szCs w:val="28"/>
        </w:rPr>
        <w:tab/>
        <w:t xml:space="preserve">3. Определить </w:t>
      </w:r>
      <w:r w:rsidR="00570994">
        <w:rPr>
          <w:rFonts w:ascii="Times New Roman CYR" w:hAnsi="Times New Roman CYR"/>
          <w:sz w:val="28"/>
          <w:szCs w:val="28"/>
        </w:rPr>
        <w:t>отдел ЖКХ и дорожной деятельности</w:t>
      </w:r>
      <w:r w:rsidRPr="00BA093D">
        <w:rPr>
          <w:rFonts w:ascii="Times New Roman CYR" w:hAnsi="Times New Roman CYR"/>
          <w:sz w:val="28"/>
          <w:szCs w:val="28"/>
        </w:rPr>
        <w:t xml:space="preserve"> Администрации </w:t>
      </w:r>
      <w:r w:rsidR="00570994">
        <w:rPr>
          <w:rFonts w:ascii="Times New Roman CYR" w:hAnsi="Times New Roman CYR"/>
          <w:sz w:val="28"/>
          <w:szCs w:val="28"/>
        </w:rPr>
        <w:t>Мясниковского</w:t>
      </w:r>
      <w:r w:rsidRPr="00BA093D">
        <w:rPr>
          <w:rFonts w:ascii="Times New Roman CYR" w:hAnsi="Times New Roman CYR"/>
          <w:sz w:val="28"/>
          <w:szCs w:val="28"/>
        </w:rPr>
        <w:t xml:space="preserve"> района уполномоченным органом Администраци</w:t>
      </w:r>
      <w:r w:rsidR="00570994">
        <w:rPr>
          <w:rFonts w:ascii="Times New Roman CYR" w:hAnsi="Times New Roman CYR"/>
          <w:sz w:val="28"/>
          <w:szCs w:val="28"/>
        </w:rPr>
        <w:t>и</w:t>
      </w:r>
      <w:r w:rsidRPr="00BA093D">
        <w:rPr>
          <w:rFonts w:ascii="Times New Roman CYR" w:hAnsi="Times New Roman CYR"/>
          <w:sz w:val="28"/>
          <w:szCs w:val="28"/>
        </w:rPr>
        <w:t xml:space="preserve"> </w:t>
      </w:r>
      <w:r w:rsidR="00570994">
        <w:rPr>
          <w:rFonts w:ascii="Times New Roman CYR" w:hAnsi="Times New Roman CYR"/>
          <w:sz w:val="28"/>
          <w:szCs w:val="28"/>
        </w:rPr>
        <w:t>Мясниковского</w:t>
      </w:r>
      <w:r w:rsidRPr="00BA093D">
        <w:rPr>
          <w:rFonts w:ascii="Times New Roman CYR" w:hAnsi="Times New Roman CYR"/>
          <w:sz w:val="28"/>
          <w:szCs w:val="28"/>
        </w:rPr>
        <w:t xml:space="preserve"> района по заключению договора о присоединении объектов дорожного сервиса</w:t>
      </w:r>
      <w:r w:rsidRPr="00BA093D">
        <w:t xml:space="preserve"> </w:t>
      </w:r>
      <w:r w:rsidRPr="00BA093D">
        <w:rPr>
          <w:rFonts w:ascii="Times New Roman CYR" w:hAnsi="Times New Roman CYR"/>
          <w:sz w:val="28"/>
          <w:szCs w:val="28"/>
        </w:rPr>
        <w:t xml:space="preserve">к </w:t>
      </w:r>
      <w:r w:rsidR="00F17288">
        <w:rPr>
          <w:rFonts w:ascii="Times New Roman CYR" w:hAnsi="Times New Roman CYR"/>
          <w:sz w:val="28"/>
          <w:szCs w:val="28"/>
        </w:rPr>
        <w:t>автомобильным дорогам Мясниковского района расположенным за чертой населенных пунктов</w:t>
      </w:r>
      <w:r w:rsidRPr="00BA093D">
        <w:rPr>
          <w:rFonts w:ascii="Times New Roman CYR" w:hAnsi="Times New Roman CYR"/>
          <w:sz w:val="28"/>
          <w:szCs w:val="28"/>
        </w:rPr>
        <w:t>.</w:t>
      </w:r>
    </w:p>
    <w:p w:rsidR="00BE7E2E" w:rsidRDefault="00BE7E2E" w:rsidP="00AD1CF1">
      <w:pPr>
        <w:widowControl/>
        <w:jc w:val="both"/>
        <w:rPr>
          <w:rFonts w:ascii="Times New Roman CYR" w:hAnsi="Times New Roman CYR"/>
          <w:sz w:val="28"/>
          <w:szCs w:val="28"/>
        </w:rPr>
      </w:pPr>
      <w:r w:rsidRPr="00BA093D">
        <w:rPr>
          <w:rFonts w:ascii="Times New Roman CYR" w:hAnsi="Times New Roman CYR"/>
          <w:sz w:val="28"/>
          <w:szCs w:val="28"/>
        </w:rPr>
        <w:tab/>
        <w:t>4.</w:t>
      </w:r>
      <w:r w:rsidR="00253D09">
        <w:rPr>
          <w:rFonts w:ascii="Times New Roman CYR" w:hAnsi="Times New Roman CYR"/>
          <w:sz w:val="28"/>
          <w:szCs w:val="28"/>
        </w:rPr>
        <w:t xml:space="preserve"> </w:t>
      </w:r>
      <w:r w:rsidRPr="00BA093D">
        <w:rPr>
          <w:rFonts w:ascii="Times New Roman CYR" w:hAnsi="Times New Roman CYR"/>
          <w:sz w:val="28"/>
          <w:szCs w:val="28"/>
        </w:rPr>
        <w:t>Настоящее постановление вступает в силу со дня его официально</w:t>
      </w:r>
      <w:r w:rsidR="00B067FB">
        <w:rPr>
          <w:rFonts w:ascii="Times New Roman CYR" w:hAnsi="Times New Roman CYR"/>
          <w:sz w:val="28"/>
          <w:szCs w:val="28"/>
        </w:rPr>
        <w:t>го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B067FB">
        <w:rPr>
          <w:rFonts w:ascii="Times New Roman CYR" w:hAnsi="Times New Roman CYR"/>
          <w:sz w:val="28"/>
          <w:szCs w:val="28"/>
        </w:rPr>
        <w:t>опубликования</w:t>
      </w:r>
      <w:r>
        <w:rPr>
          <w:rFonts w:ascii="Times New Roman CYR" w:hAnsi="Times New Roman CYR"/>
          <w:sz w:val="28"/>
          <w:szCs w:val="28"/>
        </w:rPr>
        <w:t>.</w:t>
      </w:r>
    </w:p>
    <w:p w:rsidR="00570994" w:rsidRPr="00570994" w:rsidRDefault="00BE7E2E" w:rsidP="00570994">
      <w:pPr>
        <w:widowControl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ab/>
        <w:t xml:space="preserve">5. </w:t>
      </w:r>
      <w:r w:rsidR="00570994" w:rsidRPr="00570994">
        <w:rPr>
          <w:rFonts w:ascii="Times New Roman CYR" w:hAnsi="Times New Roman CYR"/>
          <w:sz w:val="28"/>
          <w:szCs w:val="28"/>
        </w:rPr>
        <w:t>Контроль за выполнением постановления возложить на заместителя главы Администрации Мясниковского района Поповяна Д.Х.</w:t>
      </w:r>
    </w:p>
    <w:p w:rsidR="00570994" w:rsidRDefault="00570994" w:rsidP="00570994">
      <w:pPr>
        <w:widowControl/>
        <w:jc w:val="both"/>
        <w:rPr>
          <w:rFonts w:ascii="Times New Roman CYR" w:hAnsi="Times New Roman CYR"/>
          <w:sz w:val="28"/>
          <w:szCs w:val="28"/>
        </w:rPr>
      </w:pPr>
    </w:p>
    <w:p w:rsidR="00B067FB" w:rsidRPr="00570994" w:rsidRDefault="00B067FB" w:rsidP="00570994">
      <w:pPr>
        <w:widowControl/>
        <w:jc w:val="both"/>
        <w:rPr>
          <w:rFonts w:ascii="Times New Roman CYR" w:hAnsi="Times New Roman CYR"/>
          <w:sz w:val="28"/>
          <w:szCs w:val="28"/>
        </w:rPr>
      </w:pPr>
    </w:p>
    <w:p w:rsidR="00570994" w:rsidRPr="00FD3B9A" w:rsidRDefault="00B067FB" w:rsidP="00B067F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570994" w:rsidRPr="00FD3B9A">
        <w:rPr>
          <w:bCs/>
          <w:sz w:val="28"/>
          <w:szCs w:val="28"/>
        </w:rPr>
        <w:t>Администрации</w:t>
      </w:r>
    </w:p>
    <w:p w:rsidR="00570994" w:rsidRPr="00FD3B9A" w:rsidRDefault="00570994" w:rsidP="00B067FB">
      <w:pPr>
        <w:jc w:val="both"/>
        <w:outlineLvl w:val="0"/>
        <w:rPr>
          <w:bCs/>
          <w:sz w:val="28"/>
          <w:szCs w:val="28"/>
        </w:rPr>
      </w:pPr>
      <w:r w:rsidRPr="00FD3B9A">
        <w:rPr>
          <w:bCs/>
          <w:sz w:val="28"/>
          <w:szCs w:val="28"/>
        </w:rPr>
        <w:t>Мясниковского</w:t>
      </w:r>
      <w:r>
        <w:rPr>
          <w:bCs/>
          <w:sz w:val="28"/>
          <w:szCs w:val="28"/>
        </w:rPr>
        <w:t xml:space="preserve"> </w:t>
      </w:r>
      <w:r w:rsidRPr="00FD3B9A">
        <w:rPr>
          <w:bCs/>
          <w:sz w:val="28"/>
          <w:szCs w:val="28"/>
        </w:rPr>
        <w:t xml:space="preserve">района      </w:t>
      </w:r>
      <w:r w:rsidR="00B067FB">
        <w:rPr>
          <w:bCs/>
          <w:sz w:val="28"/>
          <w:szCs w:val="28"/>
        </w:rPr>
        <w:t xml:space="preserve">             </w:t>
      </w:r>
      <w:r w:rsidRPr="00FD3B9A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</w:rPr>
        <w:t xml:space="preserve">        </w:t>
      </w:r>
      <w:r w:rsidRPr="00FD3B9A">
        <w:rPr>
          <w:bCs/>
          <w:sz w:val="28"/>
          <w:szCs w:val="28"/>
        </w:rPr>
        <w:t xml:space="preserve">      В.С.</w:t>
      </w:r>
      <w:r>
        <w:rPr>
          <w:bCs/>
          <w:sz w:val="28"/>
          <w:szCs w:val="28"/>
        </w:rPr>
        <w:t xml:space="preserve"> </w:t>
      </w:r>
      <w:proofErr w:type="spellStart"/>
      <w:r w:rsidRPr="00FD3B9A">
        <w:rPr>
          <w:bCs/>
          <w:sz w:val="28"/>
          <w:szCs w:val="28"/>
        </w:rPr>
        <w:t>Килафян</w:t>
      </w:r>
      <w:proofErr w:type="spellEnd"/>
    </w:p>
    <w:p w:rsidR="00B067FB" w:rsidRDefault="00B067FB">
      <w:pPr>
        <w:widowControl/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994" w:rsidRPr="00252D57" w:rsidRDefault="00570994" w:rsidP="00570994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B067FB" w:rsidRDefault="00570994" w:rsidP="00570994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 xml:space="preserve">к </w:t>
      </w:r>
      <w:r w:rsidR="00B067FB">
        <w:rPr>
          <w:sz w:val="28"/>
          <w:szCs w:val="28"/>
        </w:rPr>
        <w:t>постановлению</w:t>
      </w:r>
    </w:p>
    <w:p w:rsidR="00570994" w:rsidRDefault="00570994" w:rsidP="00570994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70994" w:rsidRPr="00252D57" w:rsidRDefault="00570994" w:rsidP="00570994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</w:t>
      </w:r>
    </w:p>
    <w:p w:rsidR="00570994" w:rsidRPr="00252D57" w:rsidRDefault="00570994" w:rsidP="00570994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>
        <w:rPr>
          <w:sz w:val="28"/>
          <w:szCs w:val="28"/>
        </w:rPr>
        <w:t xml:space="preserve">_____ 2021 </w:t>
      </w:r>
      <w:r w:rsidRPr="00252D57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BE7E2E" w:rsidRPr="00432AE3" w:rsidRDefault="00BE7E2E" w:rsidP="00432AE3">
      <w:pPr>
        <w:jc w:val="center"/>
        <w:rPr>
          <w:sz w:val="28"/>
          <w:szCs w:val="28"/>
        </w:rPr>
      </w:pPr>
    </w:p>
    <w:p w:rsidR="00BE7E2E" w:rsidRPr="00253D09" w:rsidRDefault="00BE7E2E" w:rsidP="00432AE3">
      <w:pPr>
        <w:widowControl/>
        <w:overflowPunct/>
        <w:autoSpaceDE/>
        <w:autoSpaceDN/>
        <w:adjustRightInd/>
        <w:jc w:val="right"/>
        <w:rPr>
          <w:sz w:val="28"/>
          <w:szCs w:val="28"/>
        </w:rPr>
      </w:pPr>
      <w:r w:rsidRPr="00253D09">
        <w:rPr>
          <w:color w:val="000000"/>
          <w:sz w:val="28"/>
          <w:szCs w:val="28"/>
        </w:rPr>
        <w:t xml:space="preserve">  </w:t>
      </w:r>
    </w:p>
    <w:p w:rsidR="00BE7E2E" w:rsidRPr="00253D09" w:rsidRDefault="00BE7E2E" w:rsidP="00207EF1">
      <w:pPr>
        <w:widowControl/>
        <w:overflowPunct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253D09">
        <w:rPr>
          <w:color w:val="000000"/>
          <w:sz w:val="28"/>
          <w:szCs w:val="28"/>
        </w:rPr>
        <w:t>Перечень</w:t>
      </w:r>
    </w:p>
    <w:p w:rsidR="00BE7E2E" w:rsidRPr="00253D09" w:rsidRDefault="00BE7E2E" w:rsidP="00AD1CF1">
      <w:pPr>
        <w:widowControl/>
        <w:jc w:val="center"/>
        <w:rPr>
          <w:rFonts w:ascii="Times New Roman CYR" w:hAnsi="Times New Roman CYR"/>
          <w:sz w:val="28"/>
          <w:szCs w:val="28"/>
        </w:rPr>
      </w:pPr>
      <w:r w:rsidRPr="00253D09">
        <w:rPr>
          <w:color w:val="000000"/>
          <w:sz w:val="28"/>
          <w:szCs w:val="28"/>
        </w:rPr>
        <w:t xml:space="preserve">услуг по присоединению объектов дорожного сервиса к </w:t>
      </w:r>
      <w:r w:rsidR="00F17288">
        <w:rPr>
          <w:rFonts w:ascii="Times New Roman CYR" w:hAnsi="Times New Roman CYR"/>
          <w:sz w:val="28"/>
          <w:szCs w:val="28"/>
        </w:rPr>
        <w:t>автомобильным дорогам Мясниковского района расположенным за чертой населенных пунктов</w:t>
      </w:r>
    </w:p>
    <w:p w:rsidR="00BE7E2E" w:rsidRPr="00253D09" w:rsidRDefault="00BE7E2E" w:rsidP="00474382">
      <w:pPr>
        <w:jc w:val="both"/>
        <w:rPr>
          <w:sz w:val="28"/>
          <w:szCs w:val="28"/>
        </w:rPr>
      </w:pPr>
    </w:p>
    <w:p w:rsidR="00BE7E2E" w:rsidRPr="00474382" w:rsidRDefault="00BE7E2E" w:rsidP="00B067FB">
      <w:pPr>
        <w:widowControl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E85B5B">
        <w:rPr>
          <w:sz w:val="28"/>
          <w:szCs w:val="28"/>
        </w:rPr>
        <w:t xml:space="preserve">При присоединении объектов дорожного сервиса к </w:t>
      </w:r>
      <w:r w:rsidR="00F17288">
        <w:rPr>
          <w:rFonts w:ascii="Times New Roman CYR" w:hAnsi="Times New Roman CYR"/>
          <w:sz w:val="28"/>
          <w:szCs w:val="28"/>
        </w:rPr>
        <w:t>автомобильным дорогам Мясниковского района расположенным за чертой населенных пунктов</w:t>
      </w:r>
      <w:r>
        <w:rPr>
          <w:rFonts w:ascii="Times New Roman CYR" w:hAnsi="Times New Roman CYR"/>
          <w:sz w:val="28"/>
          <w:szCs w:val="28"/>
        </w:rPr>
        <w:t xml:space="preserve"> (далее по тексту автомобильные дороги) </w:t>
      </w:r>
      <w:r w:rsidRPr="00E85B5B">
        <w:rPr>
          <w:sz w:val="28"/>
          <w:szCs w:val="28"/>
        </w:rPr>
        <w:t>и инженерных коммуникаций</w:t>
      </w:r>
      <w:r>
        <w:rPr>
          <w:sz w:val="28"/>
          <w:szCs w:val="28"/>
        </w:rPr>
        <w:t>,</w:t>
      </w:r>
      <w:r w:rsidRPr="00E85B5B">
        <w:rPr>
          <w:sz w:val="28"/>
          <w:szCs w:val="28"/>
        </w:rPr>
        <w:t xml:space="preserve"> в пределах полосы отвода оказываются следующие услуги:</w:t>
      </w:r>
    </w:p>
    <w:p w:rsidR="00BE7E2E" w:rsidRPr="00E85B5B" w:rsidRDefault="00BE7E2E" w:rsidP="00E85B5B">
      <w:pPr>
        <w:pStyle w:val="a8"/>
        <w:spacing w:after="0"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1</w:t>
      </w:r>
      <w:r w:rsidRPr="00E85B5B">
        <w:rPr>
          <w:sz w:val="32"/>
          <w:szCs w:val="32"/>
        </w:rPr>
        <w:t>.</w:t>
      </w:r>
      <w:r w:rsidRPr="00E85B5B">
        <w:rPr>
          <w:sz w:val="21"/>
          <w:szCs w:val="21"/>
        </w:rPr>
        <w:t xml:space="preserve"> </w:t>
      </w:r>
      <w:r w:rsidRPr="00E85B5B">
        <w:rPr>
          <w:sz w:val="28"/>
          <w:szCs w:val="28"/>
        </w:rPr>
        <w:t>Выдача технических условий на размещение объекта дорожного сервиса, присоединяемого к автомобильной дороге, включающая в себя рассмотрение и принятие решения о выдаче технических условий и согласование места размещения объекта дорожного сервиса, присоединяемого к автомобильной дороге (выезд на предполагаемое место дислокации объекта).</w:t>
      </w:r>
    </w:p>
    <w:p w:rsidR="00BE7E2E" w:rsidRPr="00E85B5B" w:rsidRDefault="00BE7E2E" w:rsidP="00E85B5B">
      <w:pPr>
        <w:pStyle w:val="a8"/>
        <w:spacing w:after="0"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2. Согласование проектной документации, разработанной на основании выданных технических условий.</w:t>
      </w:r>
    </w:p>
    <w:p w:rsidR="00BE7E2E" w:rsidRPr="00E85B5B" w:rsidRDefault="00BE7E2E" w:rsidP="00E85B5B">
      <w:pPr>
        <w:pStyle w:val="a8"/>
        <w:spacing w:after="0"/>
        <w:ind w:firstLine="567"/>
        <w:jc w:val="both"/>
        <w:rPr>
          <w:sz w:val="21"/>
          <w:szCs w:val="21"/>
        </w:rPr>
      </w:pPr>
      <w:r w:rsidRPr="00E85B5B">
        <w:rPr>
          <w:sz w:val="28"/>
          <w:szCs w:val="28"/>
        </w:rPr>
        <w:t>3. Координация (с выездом на место) строительно-монтажных работ объекта дорожного сервиса в части обеспечения соблюдения технических условий и участие в приемке объекта в эксплуатацию.</w:t>
      </w:r>
    </w:p>
    <w:p w:rsidR="00BE7E2E" w:rsidRPr="00E85B5B" w:rsidRDefault="00BE7E2E" w:rsidP="00E85B5B">
      <w:pPr>
        <w:pStyle w:val="a8"/>
        <w:spacing w:after="0"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4. Внесение изменений в паспорт автомобильной дороги.</w:t>
      </w:r>
    </w:p>
    <w:p w:rsidR="00BE7E2E" w:rsidRPr="00E85B5B" w:rsidRDefault="00BE7E2E" w:rsidP="00E85B5B">
      <w:pPr>
        <w:pStyle w:val="a8"/>
        <w:spacing w:after="0"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5. Внесение изменений в проекты организации дорожного движения на соответствующих автомобильных дорогах.</w:t>
      </w:r>
    </w:p>
    <w:p w:rsidR="00BE7E2E" w:rsidRPr="00E85B5B" w:rsidRDefault="00BE7E2E" w:rsidP="004769E3">
      <w:pPr>
        <w:widowControl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Присоединение объекта дорожного сервиса к автомобильным дорогам общего пользования местного значения осуществляет уп</w:t>
      </w:r>
      <w:r>
        <w:rPr>
          <w:sz w:val="28"/>
          <w:szCs w:val="28"/>
        </w:rPr>
        <w:t xml:space="preserve">олномоченный орган Администрации </w:t>
      </w:r>
      <w:r w:rsidR="00570994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</w:t>
      </w:r>
      <w:r w:rsidRPr="00E85B5B">
        <w:rPr>
          <w:sz w:val="28"/>
          <w:szCs w:val="28"/>
        </w:rPr>
        <w:t>на основании договора о присоединении соответствующего объекта дорожного сервиса к автомоби</w:t>
      </w:r>
      <w:r>
        <w:rPr>
          <w:sz w:val="28"/>
          <w:szCs w:val="28"/>
        </w:rPr>
        <w:t>льной дороге.</w:t>
      </w:r>
    </w:p>
    <w:p w:rsidR="00BE7E2E" w:rsidRPr="00E85B5B" w:rsidRDefault="00BE7E2E" w:rsidP="00503835">
      <w:pPr>
        <w:widowControl/>
        <w:shd w:val="clear" w:color="auto" w:fill="F9F9F9"/>
        <w:overflowPunct/>
        <w:autoSpaceDE/>
        <w:autoSpaceDN/>
        <w:adjustRightInd/>
        <w:spacing w:line="360" w:lineRule="atLeast"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Договор заключается между уполномоченным орг</w:t>
      </w:r>
      <w:r>
        <w:rPr>
          <w:sz w:val="28"/>
          <w:szCs w:val="28"/>
        </w:rPr>
        <w:t xml:space="preserve">аном Администрации </w:t>
      </w:r>
      <w:r w:rsidR="00570994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</w:t>
      </w:r>
      <w:r w:rsidRPr="00E85B5B">
        <w:rPr>
          <w:sz w:val="28"/>
          <w:szCs w:val="28"/>
        </w:rPr>
        <w:t xml:space="preserve"> и лицом, осуществляющим строительство и (или) реконструкцию объекта, согласно поданному заявлению на присоединение объекта дорожного сервиса к муниципальной дороге.</w:t>
      </w:r>
    </w:p>
    <w:p w:rsidR="00BE7E2E" w:rsidRPr="00E85B5B" w:rsidRDefault="00BE7E2E" w:rsidP="00503835">
      <w:pPr>
        <w:widowControl/>
        <w:shd w:val="clear" w:color="auto" w:fill="F9F9F9"/>
        <w:overflowPunct/>
        <w:autoSpaceDE/>
        <w:autoSpaceDN/>
        <w:adjustRightInd/>
        <w:spacing w:line="360" w:lineRule="atLeast"/>
        <w:ind w:firstLine="567"/>
        <w:jc w:val="both"/>
        <w:rPr>
          <w:sz w:val="28"/>
          <w:szCs w:val="28"/>
        </w:rPr>
      </w:pPr>
      <w:r w:rsidRPr="00E85B5B">
        <w:rPr>
          <w:sz w:val="28"/>
          <w:szCs w:val="28"/>
        </w:rPr>
        <w:t>Заявление на присоединении объектов дорожного сервиса к автомобильным дорогам общего пользования местного значения муниципа</w:t>
      </w:r>
      <w:r>
        <w:rPr>
          <w:sz w:val="28"/>
          <w:szCs w:val="28"/>
        </w:rPr>
        <w:t>льного образования «</w:t>
      </w:r>
      <w:r w:rsidR="00570994">
        <w:rPr>
          <w:sz w:val="28"/>
          <w:szCs w:val="28"/>
        </w:rPr>
        <w:t>Мясников</w:t>
      </w:r>
      <w:r>
        <w:rPr>
          <w:sz w:val="28"/>
          <w:szCs w:val="28"/>
        </w:rPr>
        <w:t>ский район</w:t>
      </w:r>
      <w:r w:rsidRPr="00E85B5B">
        <w:rPr>
          <w:sz w:val="28"/>
          <w:szCs w:val="28"/>
        </w:rPr>
        <w:t>» рассматривается в течение 30 дней, по результатам рассмотрения лицу, осуществляющему строительство и (или) реконструкцию объекта направляется проект договора на присоединение объекта дорожного сервиса к автомобильной дороге общего пользования местного значения муниципа</w:t>
      </w:r>
      <w:r>
        <w:rPr>
          <w:sz w:val="28"/>
          <w:szCs w:val="28"/>
        </w:rPr>
        <w:t>льного образования «</w:t>
      </w:r>
      <w:r w:rsidR="00570994">
        <w:rPr>
          <w:sz w:val="28"/>
          <w:szCs w:val="28"/>
        </w:rPr>
        <w:t>Мясниковский</w:t>
      </w:r>
      <w:r>
        <w:rPr>
          <w:sz w:val="28"/>
          <w:szCs w:val="28"/>
        </w:rPr>
        <w:t xml:space="preserve"> район</w:t>
      </w:r>
      <w:r w:rsidRPr="00E85B5B">
        <w:rPr>
          <w:sz w:val="28"/>
          <w:szCs w:val="28"/>
        </w:rPr>
        <w:t xml:space="preserve">» либо мотивированный отказ. </w:t>
      </w:r>
    </w:p>
    <w:p w:rsidR="00BE7E2E" w:rsidRDefault="00BE7E2E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253D09" w:rsidRDefault="00253D09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253D09" w:rsidRDefault="00B067FB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067FB" w:rsidRDefault="00B067FB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А.П. Кравченко</w:t>
      </w:r>
    </w:p>
    <w:p w:rsidR="00B067FB" w:rsidRDefault="00B067FB">
      <w:pPr>
        <w:widowControl/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994" w:rsidRPr="00252D57" w:rsidRDefault="00570994" w:rsidP="00570994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7C7C69" w:rsidRDefault="00570994" w:rsidP="00570994">
      <w:pPr>
        <w:ind w:firstLine="4820"/>
        <w:jc w:val="center"/>
        <w:rPr>
          <w:sz w:val="28"/>
          <w:szCs w:val="28"/>
        </w:rPr>
      </w:pPr>
      <w:r w:rsidRPr="00252D57">
        <w:rPr>
          <w:sz w:val="28"/>
          <w:szCs w:val="28"/>
        </w:rPr>
        <w:t xml:space="preserve">к </w:t>
      </w:r>
      <w:r w:rsidR="007C7C69">
        <w:rPr>
          <w:sz w:val="28"/>
          <w:szCs w:val="28"/>
        </w:rPr>
        <w:t>постановлению</w:t>
      </w:r>
    </w:p>
    <w:p w:rsidR="00570994" w:rsidRDefault="00570994" w:rsidP="00570994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70994" w:rsidRPr="00252D57" w:rsidRDefault="00570994" w:rsidP="00570994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</w:t>
      </w:r>
    </w:p>
    <w:p w:rsidR="00570994" w:rsidRPr="00252D57" w:rsidRDefault="00570994" w:rsidP="00570994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 2021 </w:t>
      </w:r>
      <w:r w:rsidRPr="00252D57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BE7E2E" w:rsidRDefault="00BE7E2E" w:rsidP="000756EB">
      <w:pPr>
        <w:widowControl/>
        <w:overflowPunct/>
        <w:autoSpaceDE/>
        <w:autoSpaceDN/>
        <w:adjustRightInd/>
        <w:jc w:val="center"/>
        <w:rPr>
          <w:rStyle w:val="a9"/>
          <w:sz w:val="28"/>
          <w:szCs w:val="28"/>
        </w:rPr>
      </w:pPr>
    </w:p>
    <w:p w:rsidR="00BE7E2E" w:rsidRPr="00253D09" w:rsidRDefault="00BE7E2E" w:rsidP="000756EB">
      <w:pPr>
        <w:widowControl/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253D09">
        <w:rPr>
          <w:rStyle w:val="a9"/>
          <w:b w:val="0"/>
          <w:sz w:val="28"/>
          <w:szCs w:val="28"/>
        </w:rPr>
        <w:t>Расчет стоимости услуг по присоединению объектов дорожного сервиса</w:t>
      </w:r>
      <w:r w:rsidRPr="00253D09">
        <w:rPr>
          <w:b/>
          <w:sz w:val="28"/>
          <w:szCs w:val="28"/>
        </w:rPr>
        <w:t xml:space="preserve"> </w:t>
      </w:r>
      <w:r w:rsidR="007C7C69">
        <w:rPr>
          <w:rStyle w:val="a9"/>
          <w:b w:val="0"/>
          <w:sz w:val="28"/>
          <w:szCs w:val="28"/>
        </w:rPr>
        <w:t xml:space="preserve">к </w:t>
      </w:r>
      <w:r w:rsidR="00F17288">
        <w:rPr>
          <w:rStyle w:val="a9"/>
          <w:b w:val="0"/>
          <w:sz w:val="28"/>
          <w:szCs w:val="28"/>
        </w:rPr>
        <w:t>автомобильным дорогам Мясниковского района расположенным за чертой населенных пунктов</w:t>
      </w:r>
      <w:r w:rsidRPr="00253D09">
        <w:rPr>
          <w:rStyle w:val="a9"/>
          <w:b w:val="0"/>
          <w:sz w:val="28"/>
          <w:szCs w:val="28"/>
        </w:rPr>
        <w:t>.</w:t>
      </w:r>
    </w:p>
    <w:p w:rsidR="00BE7E2E" w:rsidRPr="00503835" w:rsidRDefault="00BE7E2E" w:rsidP="000756EB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BE7E2E" w:rsidRPr="00503835" w:rsidRDefault="00BE7E2E" w:rsidP="007C7C69">
      <w:pPr>
        <w:widowControl/>
        <w:overflowPunct/>
        <w:autoSpaceDE/>
        <w:autoSpaceDN/>
        <w:adjustRightInd/>
        <w:spacing w:after="150" w:line="360" w:lineRule="atLeast"/>
        <w:ind w:firstLine="708"/>
        <w:jc w:val="both"/>
        <w:rPr>
          <w:sz w:val="28"/>
          <w:szCs w:val="28"/>
        </w:rPr>
      </w:pPr>
      <w:r w:rsidRPr="00503835">
        <w:rPr>
          <w:sz w:val="28"/>
          <w:szCs w:val="28"/>
        </w:rPr>
        <w:t>Стоимость услуги по присоединению объекта дорожного сервиса, присоединяемого к автомобильной дороге (</w:t>
      </w:r>
      <w:proofErr w:type="spellStart"/>
      <w:r w:rsidRPr="00503835">
        <w:rPr>
          <w:sz w:val="28"/>
          <w:szCs w:val="28"/>
        </w:rPr>
        <w:t>Ст</w:t>
      </w:r>
      <w:proofErr w:type="spellEnd"/>
      <w:r w:rsidRPr="00503835">
        <w:rPr>
          <w:sz w:val="28"/>
          <w:szCs w:val="28"/>
        </w:rPr>
        <w:t>), рассчитывается по следующей формуле:</w:t>
      </w:r>
    </w:p>
    <w:p w:rsidR="00BE7E2E" w:rsidRPr="00503835" w:rsidRDefault="00BE7E2E" w:rsidP="00BB5E80">
      <w:pPr>
        <w:widowControl/>
        <w:overflowPunct/>
        <w:autoSpaceDE/>
        <w:autoSpaceDN/>
        <w:adjustRightInd/>
        <w:spacing w:line="360" w:lineRule="atLeast"/>
        <w:rPr>
          <w:sz w:val="28"/>
          <w:szCs w:val="28"/>
        </w:rPr>
      </w:pPr>
      <w:r w:rsidRPr="00503835">
        <w:rPr>
          <w:sz w:val="28"/>
          <w:szCs w:val="28"/>
        </w:rPr>
        <w:t xml:space="preserve">                    Ст. = </w:t>
      </w:r>
      <w:proofErr w:type="spellStart"/>
      <w:r>
        <w:rPr>
          <w:sz w:val="28"/>
          <w:szCs w:val="28"/>
        </w:rPr>
        <w:t>Кст</w:t>
      </w:r>
      <w:proofErr w:type="spellEnd"/>
      <w:r>
        <w:rPr>
          <w:sz w:val="28"/>
          <w:szCs w:val="28"/>
        </w:rPr>
        <w:t>.</w:t>
      </w:r>
      <w:r w:rsidRPr="00503835">
        <w:rPr>
          <w:sz w:val="28"/>
          <w:szCs w:val="28"/>
        </w:rPr>
        <w:t xml:space="preserve"> х </w:t>
      </w:r>
      <w:r>
        <w:rPr>
          <w:sz w:val="28"/>
          <w:szCs w:val="28"/>
        </w:rPr>
        <w:t>0,02</w:t>
      </w:r>
      <w:r w:rsidRPr="00503835">
        <w:rPr>
          <w:sz w:val="28"/>
          <w:szCs w:val="28"/>
        </w:rPr>
        <w:t xml:space="preserve"> х Км х </w:t>
      </w:r>
      <w:proofErr w:type="spellStart"/>
      <w:r w:rsidRPr="00503835">
        <w:rPr>
          <w:sz w:val="28"/>
          <w:szCs w:val="28"/>
        </w:rPr>
        <w:t>Кп</w:t>
      </w:r>
      <w:proofErr w:type="spellEnd"/>
      <w:r w:rsidRPr="00503835">
        <w:rPr>
          <w:sz w:val="28"/>
          <w:szCs w:val="28"/>
        </w:rPr>
        <w:t xml:space="preserve"> х </w:t>
      </w:r>
      <w:proofErr w:type="spellStart"/>
      <w:r w:rsidRPr="00503835">
        <w:rPr>
          <w:sz w:val="28"/>
          <w:szCs w:val="28"/>
        </w:rPr>
        <w:t>Кв</w:t>
      </w:r>
      <w:proofErr w:type="spellEnd"/>
      <w:r w:rsidRPr="00503835">
        <w:rPr>
          <w:sz w:val="28"/>
          <w:szCs w:val="28"/>
        </w:rPr>
        <w:t>,</w:t>
      </w:r>
    </w:p>
    <w:p w:rsidR="00BE7E2E" w:rsidRPr="00503835" w:rsidRDefault="00BE7E2E" w:rsidP="00BB5E80">
      <w:pPr>
        <w:widowControl/>
        <w:overflowPunct/>
        <w:autoSpaceDE/>
        <w:autoSpaceDN/>
        <w:adjustRightInd/>
        <w:spacing w:line="360" w:lineRule="atLeast"/>
        <w:rPr>
          <w:sz w:val="28"/>
          <w:szCs w:val="28"/>
        </w:rPr>
      </w:pPr>
      <w:r w:rsidRPr="00503835">
        <w:rPr>
          <w:sz w:val="28"/>
          <w:szCs w:val="28"/>
        </w:rPr>
        <w:t>где:</w:t>
      </w:r>
    </w:p>
    <w:p w:rsidR="00BE7E2E" w:rsidRPr="00503835" w:rsidRDefault="00BE7E2E" w:rsidP="00503835">
      <w:pPr>
        <w:widowControl/>
        <w:overflowPunct/>
        <w:autoSpaceDE/>
        <w:autoSpaceDN/>
        <w:adjustRightInd/>
        <w:spacing w:line="36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Кст</w:t>
      </w:r>
      <w:proofErr w:type="spellEnd"/>
      <w:r>
        <w:rPr>
          <w:sz w:val="28"/>
          <w:szCs w:val="28"/>
        </w:rPr>
        <w:t>.</w:t>
      </w:r>
      <w:r w:rsidRPr="00503835">
        <w:rPr>
          <w:sz w:val="28"/>
          <w:szCs w:val="28"/>
        </w:rPr>
        <w:t> </w:t>
      </w:r>
      <w:r>
        <w:rPr>
          <w:sz w:val="28"/>
          <w:szCs w:val="28"/>
        </w:rPr>
        <w:t>–</w:t>
      </w:r>
      <w:r w:rsidRPr="00503835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Кадастровая стоимость земельного участка, предоставленного для строительства объекта дорожного сервиса</w:t>
      </w:r>
      <w:r w:rsidRPr="00503835">
        <w:rPr>
          <w:sz w:val="28"/>
          <w:szCs w:val="28"/>
        </w:rPr>
        <w:t>,</w:t>
      </w:r>
    </w:p>
    <w:p w:rsidR="00BE7E2E" w:rsidRPr="00503835" w:rsidRDefault="00BE7E2E" w:rsidP="007E1000">
      <w:pPr>
        <w:widowControl/>
        <w:overflowPunct/>
        <w:autoSpaceDE/>
        <w:autoSpaceDN/>
        <w:adjustRightInd/>
        <w:spacing w:after="150" w:line="360" w:lineRule="atLeast"/>
        <w:rPr>
          <w:sz w:val="28"/>
          <w:szCs w:val="28"/>
        </w:rPr>
      </w:pPr>
      <w:r w:rsidRPr="00503835">
        <w:rPr>
          <w:sz w:val="28"/>
          <w:szCs w:val="28"/>
        </w:rPr>
        <w:t>Км – поправочный коэффициент «Место расположения объекта»,</w:t>
      </w:r>
    </w:p>
    <w:p w:rsidR="00BE7E2E" w:rsidRPr="00503835" w:rsidRDefault="00BE7E2E" w:rsidP="007E1000">
      <w:pPr>
        <w:widowControl/>
        <w:overflowPunct/>
        <w:autoSpaceDE/>
        <w:autoSpaceDN/>
        <w:adjustRightInd/>
        <w:spacing w:after="150" w:line="360" w:lineRule="atLeast"/>
        <w:rPr>
          <w:sz w:val="28"/>
          <w:szCs w:val="28"/>
        </w:rPr>
      </w:pPr>
      <w:proofErr w:type="spellStart"/>
      <w:r w:rsidRPr="00503835">
        <w:rPr>
          <w:sz w:val="28"/>
          <w:szCs w:val="28"/>
        </w:rPr>
        <w:t>Кп</w:t>
      </w:r>
      <w:proofErr w:type="spellEnd"/>
      <w:r w:rsidRPr="00503835">
        <w:rPr>
          <w:sz w:val="28"/>
          <w:szCs w:val="28"/>
        </w:rPr>
        <w:t xml:space="preserve"> – поправочный коэффициент «Площадь </w:t>
      </w:r>
      <w:r>
        <w:rPr>
          <w:sz w:val="28"/>
          <w:szCs w:val="28"/>
        </w:rPr>
        <w:t>земельного участка</w:t>
      </w:r>
      <w:r w:rsidRPr="00503835">
        <w:rPr>
          <w:sz w:val="28"/>
          <w:szCs w:val="28"/>
        </w:rPr>
        <w:t>»,</w:t>
      </w:r>
    </w:p>
    <w:p w:rsidR="00BE7E2E" w:rsidRPr="00503835" w:rsidRDefault="00BE7E2E" w:rsidP="00BB5E80">
      <w:pPr>
        <w:widowControl/>
        <w:overflowPunct/>
        <w:autoSpaceDE/>
        <w:autoSpaceDN/>
        <w:adjustRightInd/>
        <w:spacing w:after="150" w:line="360" w:lineRule="atLeast"/>
        <w:rPr>
          <w:sz w:val="28"/>
          <w:szCs w:val="28"/>
        </w:rPr>
      </w:pPr>
      <w:proofErr w:type="spellStart"/>
      <w:r w:rsidRPr="00503835">
        <w:rPr>
          <w:sz w:val="28"/>
          <w:szCs w:val="28"/>
        </w:rPr>
        <w:t>Кв</w:t>
      </w:r>
      <w:proofErr w:type="spellEnd"/>
      <w:r w:rsidRPr="00503835">
        <w:rPr>
          <w:sz w:val="28"/>
          <w:szCs w:val="28"/>
        </w:rPr>
        <w:t xml:space="preserve"> - коэффициент «Вид объекта дорожного сервиса».</w:t>
      </w:r>
    </w:p>
    <w:p w:rsidR="00BE7E2E" w:rsidRPr="00253D09" w:rsidRDefault="00BE7E2E" w:rsidP="00BF7591">
      <w:pPr>
        <w:widowControl/>
        <w:overflowPunct/>
        <w:autoSpaceDE/>
        <w:autoSpaceDN/>
        <w:adjustRightInd/>
        <w:spacing w:line="360" w:lineRule="atLeast"/>
        <w:jc w:val="center"/>
        <w:rPr>
          <w:sz w:val="28"/>
          <w:szCs w:val="28"/>
        </w:rPr>
      </w:pPr>
      <w:r w:rsidRPr="00253D09">
        <w:rPr>
          <w:sz w:val="28"/>
          <w:szCs w:val="28"/>
        </w:rPr>
        <w:t>Значение коэффициента «Место расположения объекта»</w:t>
      </w:r>
    </w:p>
    <w:p w:rsidR="00BE7E2E" w:rsidRPr="00253D09" w:rsidRDefault="00BE7E2E" w:rsidP="00BF7591">
      <w:pPr>
        <w:widowControl/>
        <w:overflowPunct/>
        <w:autoSpaceDE/>
        <w:autoSpaceDN/>
        <w:adjustRightInd/>
        <w:spacing w:line="360" w:lineRule="atLeast"/>
        <w:jc w:val="center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8"/>
        <w:gridCol w:w="3449"/>
        <w:gridCol w:w="3322"/>
      </w:tblGrid>
      <w:tr w:rsidR="00BE7E2E" w:rsidRPr="00503835" w:rsidTr="00A00B63">
        <w:tc>
          <w:tcPr>
            <w:tcW w:w="26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A00B63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 xml:space="preserve">Категория автомобильной дороги  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A00B63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32"/>
                <w:szCs w:val="32"/>
              </w:rPr>
            </w:pPr>
            <w:r w:rsidRPr="00503835">
              <w:rPr>
                <w:sz w:val="32"/>
                <w:szCs w:val="32"/>
              </w:rPr>
              <w:t>Интенсивность движения (автомобилей в сутки)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7E2E" w:rsidRPr="00503835" w:rsidRDefault="00BE7E2E" w:rsidP="00A00B63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32"/>
                <w:szCs w:val="32"/>
              </w:rPr>
            </w:pPr>
            <w:r w:rsidRPr="00503835">
              <w:rPr>
                <w:sz w:val="32"/>
                <w:szCs w:val="32"/>
              </w:rPr>
              <w:t>Поправочный коэффициент «Место расположения объекта»</w:t>
            </w:r>
          </w:p>
        </w:tc>
      </w:tr>
      <w:tr w:rsidR="00BE7E2E" w:rsidRPr="00503835" w:rsidTr="00A00B63">
        <w:tc>
          <w:tcPr>
            <w:tcW w:w="26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III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от 2000 до 6000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1,5</w:t>
            </w:r>
          </w:p>
        </w:tc>
      </w:tr>
      <w:tr w:rsidR="00BE7E2E" w:rsidRPr="00503835" w:rsidTr="00A00B63">
        <w:tc>
          <w:tcPr>
            <w:tcW w:w="26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IV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от 200 до 2000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1</w:t>
            </w:r>
          </w:p>
        </w:tc>
      </w:tr>
      <w:tr w:rsidR="00BE7E2E" w:rsidRPr="00503835" w:rsidTr="00A00B63">
        <w:tc>
          <w:tcPr>
            <w:tcW w:w="268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до 200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E7E2E" w:rsidRPr="00503835" w:rsidRDefault="00BE7E2E" w:rsidP="007E1000">
            <w:pPr>
              <w:widowControl/>
              <w:overflowPunct/>
              <w:autoSpaceDE/>
              <w:autoSpaceDN/>
              <w:adjustRightInd/>
              <w:spacing w:after="150" w:line="360" w:lineRule="atLeast"/>
              <w:jc w:val="center"/>
              <w:rPr>
                <w:sz w:val="28"/>
                <w:szCs w:val="28"/>
              </w:rPr>
            </w:pPr>
            <w:r w:rsidRPr="00503835">
              <w:rPr>
                <w:sz w:val="28"/>
                <w:szCs w:val="28"/>
              </w:rPr>
              <w:t>0,5</w:t>
            </w:r>
          </w:p>
        </w:tc>
      </w:tr>
    </w:tbl>
    <w:p w:rsidR="00BE7E2E" w:rsidRDefault="00BE7E2E" w:rsidP="000756EB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BE7E2E" w:rsidRPr="00253D09" w:rsidRDefault="00BE7E2E" w:rsidP="00BF7591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center"/>
        <w:rPr>
          <w:sz w:val="28"/>
          <w:szCs w:val="28"/>
        </w:rPr>
      </w:pPr>
      <w:r w:rsidRPr="00253D09">
        <w:rPr>
          <w:sz w:val="28"/>
          <w:szCs w:val="28"/>
        </w:rPr>
        <w:t>Значение поправочного коэффициента «Площадь земельного участка»</w:t>
      </w:r>
    </w:p>
    <w:p w:rsidR="00BE7E2E" w:rsidRPr="00503835" w:rsidRDefault="00BE7E2E" w:rsidP="00BF7591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8"/>
        <w:gridCol w:w="4647"/>
      </w:tblGrid>
      <w:tr w:rsidR="00BE7E2E" w:rsidRPr="00503835" w:rsidTr="00FB7BE7"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Площадь земельного участка, предоставленного для строительства объекта дорожного сервиса</w:t>
            </w:r>
          </w:p>
        </w:tc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Поправочный коэффициент «Площадь земельного участка»</w:t>
            </w:r>
          </w:p>
        </w:tc>
      </w:tr>
      <w:tr w:rsidR="00BE7E2E" w:rsidRPr="00503835" w:rsidTr="00FB7BE7"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До 400 кв. м</w:t>
            </w:r>
          </w:p>
        </w:tc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1</w:t>
            </w:r>
          </w:p>
        </w:tc>
      </w:tr>
      <w:tr w:rsidR="00BE7E2E" w:rsidRPr="00503835" w:rsidTr="00FB7BE7"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От 401 до 2500 кв. м</w:t>
            </w:r>
          </w:p>
        </w:tc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0,75</w:t>
            </w:r>
          </w:p>
        </w:tc>
      </w:tr>
      <w:tr w:rsidR="00BE7E2E" w:rsidRPr="00503835" w:rsidTr="00FB7BE7"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4956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0,5</w:t>
            </w:r>
          </w:p>
        </w:tc>
      </w:tr>
    </w:tbl>
    <w:p w:rsidR="00BE7E2E" w:rsidRDefault="00BE7E2E" w:rsidP="007E1000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both"/>
        <w:rPr>
          <w:b/>
          <w:sz w:val="28"/>
          <w:szCs w:val="28"/>
        </w:rPr>
      </w:pPr>
    </w:p>
    <w:p w:rsidR="00BE7E2E" w:rsidRPr="00253D09" w:rsidRDefault="00BE7E2E" w:rsidP="00BF7591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center"/>
        <w:rPr>
          <w:sz w:val="28"/>
          <w:szCs w:val="28"/>
        </w:rPr>
      </w:pPr>
      <w:r w:rsidRPr="00253D09">
        <w:rPr>
          <w:sz w:val="28"/>
          <w:szCs w:val="28"/>
        </w:rPr>
        <w:t>Значение коэффициента «Вид объекта дорожного сервиса»</w:t>
      </w:r>
    </w:p>
    <w:p w:rsidR="00BE7E2E" w:rsidRPr="00503835" w:rsidRDefault="00BE7E2E" w:rsidP="00BF7591">
      <w:pPr>
        <w:widowControl/>
        <w:shd w:val="clear" w:color="auto" w:fill="F9F9F9"/>
        <w:overflowPunct/>
        <w:autoSpaceDE/>
        <w:autoSpaceDN/>
        <w:adjustRightInd/>
        <w:spacing w:line="36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"/>
        <w:gridCol w:w="6069"/>
        <w:gridCol w:w="2337"/>
      </w:tblGrid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after="360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520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Виды объектов дорожного сервиса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Поправочный</w:t>
            </w:r>
          </w:p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коэффициент «Вид  объекта дорожного сервиса»</w:t>
            </w:r>
          </w:p>
        </w:tc>
      </w:tr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 xml:space="preserve">Пункт оказания медицинской помощи  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0</w:t>
            </w:r>
          </w:p>
        </w:tc>
      </w:tr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Комплекс дорожного сервиса. Площадка для отстоя транспорта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1</w:t>
            </w:r>
          </w:p>
        </w:tc>
      </w:tr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Пункт обслуживания автомобилей (</w:t>
            </w:r>
            <w:proofErr w:type="spellStart"/>
            <w:r w:rsidRPr="00FB7BE7">
              <w:rPr>
                <w:sz w:val="28"/>
                <w:szCs w:val="28"/>
              </w:rPr>
              <w:t>шиномонтаж</w:t>
            </w:r>
            <w:proofErr w:type="spellEnd"/>
            <w:r w:rsidRPr="00FB7BE7">
              <w:rPr>
                <w:sz w:val="28"/>
                <w:szCs w:val="28"/>
              </w:rPr>
              <w:t>, ремонт, мойка и т.п.)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2</w:t>
            </w:r>
          </w:p>
        </w:tc>
      </w:tr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Рынок, торговый комплекс, автоцентр, автосалон и т.п.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3</w:t>
            </w:r>
          </w:p>
        </w:tc>
      </w:tr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both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Кафе, ресторан, магазин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4</w:t>
            </w:r>
          </w:p>
        </w:tc>
      </w:tr>
      <w:tr w:rsidR="00BE7E2E" w:rsidRPr="00503835" w:rsidTr="00FB7BE7">
        <w:tc>
          <w:tcPr>
            <w:tcW w:w="988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rPr>
                <w:b/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Автозаправочные станции</w:t>
            </w:r>
          </w:p>
        </w:tc>
        <w:tc>
          <w:tcPr>
            <w:tcW w:w="2404" w:type="dxa"/>
          </w:tcPr>
          <w:p w:rsidR="00BE7E2E" w:rsidRPr="00FB7BE7" w:rsidRDefault="00BE7E2E" w:rsidP="00FB7BE7">
            <w:pPr>
              <w:widowControl/>
              <w:overflowPunct/>
              <w:autoSpaceDE/>
              <w:autoSpaceDN/>
              <w:adjustRightInd/>
              <w:spacing w:line="360" w:lineRule="atLeast"/>
              <w:jc w:val="center"/>
              <w:rPr>
                <w:sz w:val="28"/>
                <w:szCs w:val="28"/>
              </w:rPr>
            </w:pPr>
            <w:r w:rsidRPr="00FB7BE7">
              <w:rPr>
                <w:sz w:val="28"/>
                <w:szCs w:val="28"/>
              </w:rPr>
              <w:t>5</w:t>
            </w:r>
          </w:p>
        </w:tc>
      </w:tr>
    </w:tbl>
    <w:p w:rsidR="00BE7E2E" w:rsidRPr="00503835" w:rsidRDefault="00BE7E2E" w:rsidP="000756EB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</w:p>
    <w:p w:rsidR="00BE7E2E" w:rsidRPr="00503835" w:rsidRDefault="00BE7E2E" w:rsidP="007C7C69">
      <w:pPr>
        <w:widowControl/>
        <w:shd w:val="clear" w:color="auto" w:fill="FFFFFF"/>
        <w:overflowPunct/>
        <w:autoSpaceDE/>
        <w:autoSpaceDN/>
        <w:adjustRightInd/>
        <w:spacing w:line="330" w:lineRule="atLeast"/>
        <w:ind w:firstLine="708"/>
        <w:jc w:val="both"/>
        <w:rPr>
          <w:sz w:val="28"/>
          <w:szCs w:val="28"/>
        </w:rPr>
      </w:pPr>
      <w:r w:rsidRPr="00503835">
        <w:rPr>
          <w:sz w:val="28"/>
          <w:szCs w:val="28"/>
        </w:rPr>
        <w:t>При присоединении нескольких объектов дорожного сервиса одного или различных видов</w:t>
      </w:r>
      <w:r>
        <w:rPr>
          <w:sz w:val="28"/>
          <w:szCs w:val="28"/>
        </w:rPr>
        <w:t>, расположенных на одном земельном участке</w:t>
      </w:r>
      <w:r w:rsidRPr="00503835">
        <w:rPr>
          <w:sz w:val="28"/>
          <w:szCs w:val="28"/>
        </w:rPr>
        <w:t xml:space="preserve"> к </w:t>
      </w:r>
      <w:r>
        <w:rPr>
          <w:sz w:val="28"/>
          <w:szCs w:val="28"/>
        </w:rPr>
        <w:t>автомобильной дороге общего пользования местного значения муниципального образования «</w:t>
      </w:r>
      <w:r w:rsidR="00570994">
        <w:rPr>
          <w:sz w:val="28"/>
          <w:szCs w:val="28"/>
        </w:rPr>
        <w:t>Мясниковский</w:t>
      </w:r>
      <w:r>
        <w:rPr>
          <w:sz w:val="28"/>
          <w:szCs w:val="28"/>
        </w:rPr>
        <w:t xml:space="preserve"> район»</w:t>
      </w:r>
      <w:r w:rsidRPr="00503835">
        <w:rPr>
          <w:sz w:val="28"/>
          <w:szCs w:val="28"/>
        </w:rPr>
        <w:t xml:space="preserve"> стоимость услуг, взимается </w:t>
      </w:r>
      <w:r>
        <w:rPr>
          <w:sz w:val="28"/>
          <w:szCs w:val="28"/>
        </w:rPr>
        <w:t>исходя из стоимости услуг по присоединению объекта дорожного сервиса, для которого установлен наивысший поправочный коэффициент «Вид объекта дорожного сервиса» из числа присоединяемых объектов</w:t>
      </w:r>
      <w:r w:rsidRPr="00503835">
        <w:rPr>
          <w:sz w:val="28"/>
          <w:szCs w:val="28"/>
        </w:rPr>
        <w:t>.</w:t>
      </w:r>
    </w:p>
    <w:p w:rsidR="00BE7E2E" w:rsidRPr="00503835" w:rsidRDefault="00BE7E2E" w:rsidP="007C7C69">
      <w:pPr>
        <w:widowControl/>
        <w:shd w:val="clear" w:color="auto" w:fill="FFFFFF"/>
        <w:overflowPunct/>
        <w:autoSpaceDE/>
        <w:autoSpaceDN/>
        <w:adjustRightInd/>
        <w:spacing w:line="330" w:lineRule="atLeast"/>
        <w:ind w:firstLine="708"/>
        <w:jc w:val="both"/>
        <w:rPr>
          <w:sz w:val="28"/>
          <w:szCs w:val="28"/>
        </w:rPr>
      </w:pPr>
      <w:r w:rsidRPr="00503835">
        <w:rPr>
          <w:sz w:val="28"/>
          <w:szCs w:val="28"/>
        </w:rPr>
        <w:t>Посты дорожно-патрульной службы, а также здания, занимаемые органами государственной власти или органами местного самоуправления, не учитываются в качестве объектов дорожного сервиса.</w:t>
      </w:r>
    </w:p>
    <w:p w:rsidR="00BE7E2E" w:rsidRPr="00503835" w:rsidRDefault="00BE7E2E" w:rsidP="007C7C69">
      <w:pPr>
        <w:widowControl/>
        <w:shd w:val="clear" w:color="auto" w:fill="FFFFFF"/>
        <w:overflowPunct/>
        <w:autoSpaceDE/>
        <w:autoSpaceDN/>
        <w:adjustRightInd/>
        <w:spacing w:line="330" w:lineRule="atLeast"/>
        <w:ind w:firstLine="708"/>
        <w:jc w:val="both"/>
        <w:rPr>
          <w:sz w:val="28"/>
          <w:szCs w:val="28"/>
        </w:rPr>
      </w:pPr>
      <w:r w:rsidRPr="00503835">
        <w:rPr>
          <w:sz w:val="28"/>
          <w:szCs w:val="28"/>
        </w:rPr>
        <w:t>Средства от оказания услуг по присоединению объектов дорожного сервиса к автомобильным дорогам подлежат зачислению в доход бюджета муниципа</w:t>
      </w:r>
      <w:r>
        <w:rPr>
          <w:sz w:val="28"/>
          <w:szCs w:val="28"/>
        </w:rPr>
        <w:t>льного образования «</w:t>
      </w:r>
      <w:r w:rsidR="00570994">
        <w:rPr>
          <w:sz w:val="28"/>
          <w:szCs w:val="28"/>
        </w:rPr>
        <w:t>Мясниковский</w:t>
      </w:r>
      <w:r>
        <w:rPr>
          <w:sz w:val="28"/>
          <w:szCs w:val="28"/>
        </w:rPr>
        <w:t xml:space="preserve"> район</w:t>
      </w:r>
      <w:r w:rsidRPr="00503835">
        <w:rPr>
          <w:sz w:val="28"/>
          <w:szCs w:val="28"/>
        </w:rPr>
        <w:t>».</w:t>
      </w:r>
    </w:p>
    <w:p w:rsidR="00BE7E2E" w:rsidRPr="00503835" w:rsidRDefault="00BE7E2E" w:rsidP="00A00B63">
      <w:pPr>
        <w:widowControl/>
        <w:shd w:val="clear" w:color="auto" w:fill="FFFFFF"/>
        <w:overflowPunct/>
        <w:autoSpaceDE/>
        <w:autoSpaceDN/>
        <w:adjustRightInd/>
        <w:spacing w:line="330" w:lineRule="atLeast"/>
        <w:jc w:val="both"/>
        <w:rPr>
          <w:sz w:val="28"/>
          <w:szCs w:val="28"/>
        </w:rPr>
      </w:pPr>
    </w:p>
    <w:p w:rsidR="00BE7E2E" w:rsidRPr="00503835" w:rsidRDefault="00BE7E2E" w:rsidP="00CA6D0D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BE7E2E" w:rsidRDefault="00BE7E2E" w:rsidP="00CA6D0D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570994" w:rsidRDefault="00570994" w:rsidP="00570994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70994" w:rsidRPr="00252D57" w:rsidRDefault="00570994" w:rsidP="0057099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А.П. Кравченко</w:t>
      </w:r>
    </w:p>
    <w:sectPr w:rsidR="00570994" w:rsidRPr="00252D57" w:rsidSect="00B0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1AD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FE64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AA0D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923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EA21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A0A4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142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A850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E0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4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9D0F1E"/>
    <w:multiLevelType w:val="multilevel"/>
    <w:tmpl w:val="3664ECF8"/>
    <w:lvl w:ilvl="0">
      <w:start w:val="1"/>
      <w:numFmt w:val="decimal"/>
      <w:lvlText w:val="%1."/>
      <w:lvlJc w:val="left"/>
      <w:pPr>
        <w:ind w:left="672" w:hanging="672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762A09CD"/>
    <w:multiLevelType w:val="hybridMultilevel"/>
    <w:tmpl w:val="259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1C"/>
    <w:rsid w:val="00006977"/>
    <w:rsid w:val="00024B80"/>
    <w:rsid w:val="00063CAD"/>
    <w:rsid w:val="000756EB"/>
    <w:rsid w:val="000C19E3"/>
    <w:rsid w:val="000E3860"/>
    <w:rsid w:val="00141E4D"/>
    <w:rsid w:val="00180239"/>
    <w:rsid w:val="001870AA"/>
    <w:rsid w:val="0019267D"/>
    <w:rsid w:val="001B3EB9"/>
    <w:rsid w:val="001D0D18"/>
    <w:rsid w:val="00207EF1"/>
    <w:rsid w:val="00240A24"/>
    <w:rsid w:val="00253D09"/>
    <w:rsid w:val="00277327"/>
    <w:rsid w:val="0029041B"/>
    <w:rsid w:val="003320BE"/>
    <w:rsid w:val="003F3A25"/>
    <w:rsid w:val="0042094F"/>
    <w:rsid w:val="00432AE3"/>
    <w:rsid w:val="00474382"/>
    <w:rsid w:val="004769E3"/>
    <w:rsid w:val="004A2AEB"/>
    <w:rsid w:val="004D4480"/>
    <w:rsid w:val="004D6B8E"/>
    <w:rsid w:val="00503835"/>
    <w:rsid w:val="005672E4"/>
    <w:rsid w:val="00570994"/>
    <w:rsid w:val="005F27FB"/>
    <w:rsid w:val="006042E8"/>
    <w:rsid w:val="00611C18"/>
    <w:rsid w:val="00633CBC"/>
    <w:rsid w:val="00637D1C"/>
    <w:rsid w:val="006466A9"/>
    <w:rsid w:val="00661957"/>
    <w:rsid w:val="00663745"/>
    <w:rsid w:val="00663C5F"/>
    <w:rsid w:val="006A3253"/>
    <w:rsid w:val="006A5382"/>
    <w:rsid w:val="006E00B8"/>
    <w:rsid w:val="0070716D"/>
    <w:rsid w:val="00747982"/>
    <w:rsid w:val="00761DCF"/>
    <w:rsid w:val="007831AA"/>
    <w:rsid w:val="007C7C69"/>
    <w:rsid w:val="007E1000"/>
    <w:rsid w:val="00806004"/>
    <w:rsid w:val="00894DC2"/>
    <w:rsid w:val="008D5DB1"/>
    <w:rsid w:val="008F334B"/>
    <w:rsid w:val="00930F90"/>
    <w:rsid w:val="009979C7"/>
    <w:rsid w:val="00A00B63"/>
    <w:rsid w:val="00A873C1"/>
    <w:rsid w:val="00A936A7"/>
    <w:rsid w:val="00A94AD7"/>
    <w:rsid w:val="00AC798A"/>
    <w:rsid w:val="00AD1CF1"/>
    <w:rsid w:val="00AF09D3"/>
    <w:rsid w:val="00B067FB"/>
    <w:rsid w:val="00BA093D"/>
    <w:rsid w:val="00BA21EC"/>
    <w:rsid w:val="00BA5BBD"/>
    <w:rsid w:val="00BB4EA7"/>
    <w:rsid w:val="00BB5E80"/>
    <w:rsid w:val="00BE7E2E"/>
    <w:rsid w:val="00BF7591"/>
    <w:rsid w:val="00C60DF2"/>
    <w:rsid w:val="00C910C6"/>
    <w:rsid w:val="00CA6D0D"/>
    <w:rsid w:val="00CC77F8"/>
    <w:rsid w:val="00DB073F"/>
    <w:rsid w:val="00DB5AB1"/>
    <w:rsid w:val="00DD21F3"/>
    <w:rsid w:val="00DE2E7E"/>
    <w:rsid w:val="00E00339"/>
    <w:rsid w:val="00E33705"/>
    <w:rsid w:val="00E85B5B"/>
    <w:rsid w:val="00F01117"/>
    <w:rsid w:val="00F17288"/>
    <w:rsid w:val="00F646E8"/>
    <w:rsid w:val="00F959F3"/>
    <w:rsid w:val="00FB7BE7"/>
    <w:rsid w:val="00FC706A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F9ED3"/>
  <w15:docId w15:val="{DFEA7238-15AF-4D54-9EB0-BF88013B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3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570994"/>
    <w:pPr>
      <w:keepNext/>
      <w:widowControl/>
      <w:overflowPunct/>
      <w:autoSpaceDE/>
      <w:autoSpaceDN/>
      <w:adjustRightInd/>
      <w:jc w:val="center"/>
      <w:outlineLvl w:val="0"/>
    </w:pPr>
    <w:rPr>
      <w:rFonts w:eastAsia="Times New Roman"/>
      <w:b/>
      <w:sz w:val="32"/>
    </w:rPr>
  </w:style>
  <w:style w:type="paragraph" w:styleId="2">
    <w:name w:val="heading 2"/>
    <w:basedOn w:val="a"/>
    <w:next w:val="a"/>
    <w:link w:val="20"/>
    <w:uiPriority w:val="9"/>
    <w:qFormat/>
    <w:locked/>
    <w:rsid w:val="00570994"/>
    <w:pPr>
      <w:keepNext/>
      <w:widowControl/>
      <w:overflowPunct/>
      <w:autoSpaceDE/>
      <w:autoSpaceDN/>
      <w:adjustRightInd/>
      <w:jc w:val="center"/>
      <w:outlineLvl w:val="1"/>
    </w:pPr>
    <w:rPr>
      <w:rFonts w:eastAsia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239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1802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1"/>
    <w:locked/>
    <w:rsid w:val="00180239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180239"/>
    <w:pPr>
      <w:shd w:val="clear" w:color="auto" w:fill="FFFFFF"/>
      <w:overflowPunct/>
      <w:autoSpaceDE/>
      <w:autoSpaceDN/>
      <w:adjustRightInd/>
      <w:spacing w:line="317" w:lineRule="exact"/>
      <w:jc w:val="center"/>
    </w:pPr>
    <w:rPr>
      <w:rFonts w:ascii="Calibri" w:eastAsia="Times New Roman" w:hAnsi="Calibri"/>
      <w:sz w:val="28"/>
    </w:rPr>
  </w:style>
  <w:style w:type="paragraph" w:customStyle="1" w:styleId="12">
    <w:name w:val="Абзац списка1"/>
    <w:basedOn w:val="a"/>
    <w:rsid w:val="000C19E3"/>
    <w:pPr>
      <w:ind w:left="720"/>
      <w:contextualSpacing/>
    </w:pPr>
  </w:style>
  <w:style w:type="paragraph" w:styleId="a6">
    <w:name w:val="Balloon Text"/>
    <w:basedOn w:val="a"/>
    <w:link w:val="a7"/>
    <w:semiHidden/>
    <w:rsid w:val="00240A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locked/>
    <w:rsid w:val="00240A24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semiHidden/>
    <w:rsid w:val="00FC706A"/>
    <w:pPr>
      <w:widowControl/>
      <w:overflowPunct/>
      <w:autoSpaceDE/>
      <w:autoSpaceDN/>
      <w:adjustRightInd/>
      <w:spacing w:after="150"/>
    </w:pPr>
    <w:rPr>
      <w:sz w:val="24"/>
      <w:szCs w:val="24"/>
    </w:rPr>
  </w:style>
  <w:style w:type="character" w:styleId="a9">
    <w:name w:val="Strong"/>
    <w:basedOn w:val="a0"/>
    <w:qFormat/>
    <w:rsid w:val="000756EB"/>
    <w:rPr>
      <w:rFonts w:cs="Times New Roman"/>
      <w:b/>
      <w:bCs/>
    </w:rPr>
  </w:style>
  <w:style w:type="character" w:styleId="aa">
    <w:name w:val="annotation reference"/>
    <w:basedOn w:val="a0"/>
    <w:semiHidden/>
    <w:rsid w:val="00A873C1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A873C1"/>
  </w:style>
  <w:style w:type="character" w:customStyle="1" w:styleId="ac">
    <w:name w:val="Текст примечания Знак"/>
    <w:basedOn w:val="a0"/>
    <w:link w:val="ab"/>
    <w:semiHidden/>
    <w:locked/>
    <w:rsid w:val="00A873C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rsid w:val="00A873C1"/>
    <w:rPr>
      <w:b/>
      <w:bCs/>
    </w:rPr>
  </w:style>
  <w:style w:type="character" w:customStyle="1" w:styleId="ae">
    <w:name w:val="Тема примечания Знак"/>
    <w:basedOn w:val="ac"/>
    <w:link w:val="ad"/>
    <w:semiHidden/>
    <w:locked/>
    <w:rsid w:val="00A873C1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rsid w:val="00663C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0994"/>
    <w:rPr>
      <w:rFonts w:ascii="Times New Roman" w:eastAsia="Times New Roman" w:hAnsi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rsid w:val="00570994"/>
    <w:rPr>
      <w:rFonts w:ascii="Times New Roman" w:eastAsia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6103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111</dc:creator>
  <cp:lastModifiedBy>Кравченко</cp:lastModifiedBy>
  <cp:revision>2</cp:revision>
  <cp:lastPrinted>2021-05-13T07:18:00Z</cp:lastPrinted>
  <dcterms:created xsi:type="dcterms:W3CDTF">2021-05-13T07:19:00Z</dcterms:created>
  <dcterms:modified xsi:type="dcterms:W3CDTF">2021-05-13T07:19:00Z</dcterms:modified>
</cp:coreProperties>
</file>